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D4605C" w:rsidRPr="00D4605C" w:rsidRDefault="00D4605C" w:rsidP="00D4605C">
      <w:pPr>
        <w:keepNext/>
        <w:keepLines/>
        <w:widowControl w:val="0"/>
        <w:suppressLineNumbers/>
        <w:jc w:val="center"/>
        <w:rPr>
          <w:sz w:val="28"/>
        </w:rPr>
      </w:pPr>
      <w:r w:rsidRPr="00D4605C">
        <w:rPr>
          <w:sz w:val="28"/>
        </w:rPr>
        <w:t>среди субъектов малого предпринимательства и социально ориентированных</w:t>
      </w:r>
    </w:p>
    <w:p w:rsidR="002113DA" w:rsidRPr="00E84893" w:rsidRDefault="00D4605C" w:rsidP="00D4605C">
      <w:pPr>
        <w:keepNext/>
        <w:keepLines/>
        <w:widowControl w:val="0"/>
        <w:suppressLineNumbers/>
        <w:jc w:val="center"/>
        <w:rPr>
          <w:sz w:val="28"/>
        </w:rPr>
      </w:pPr>
      <w:r w:rsidRPr="00D4605C">
        <w:rPr>
          <w:sz w:val="28"/>
        </w:rPr>
        <w:t xml:space="preserve">некоммерческих организаций </w:t>
      </w:r>
      <w:r w:rsidR="002113DA" w:rsidRPr="00E84893">
        <w:rPr>
          <w:sz w:val="28"/>
        </w:rPr>
        <w:t xml:space="preserve">на </w:t>
      </w:r>
      <w:r w:rsidR="00106155">
        <w:rPr>
          <w:sz w:val="28"/>
        </w:rPr>
        <w:t xml:space="preserve">участие в долевом строительстве </w:t>
      </w:r>
      <w:r w:rsidR="002113DA" w:rsidRPr="00E84893">
        <w:rPr>
          <w:sz w:val="28"/>
        </w:rPr>
        <w:t>благоустроенн</w:t>
      </w:r>
      <w:r w:rsidR="00106155">
        <w:rPr>
          <w:sz w:val="28"/>
        </w:rPr>
        <w:t>ых квартир</w:t>
      </w:r>
      <w:r w:rsidR="002113DA" w:rsidRPr="00E84893">
        <w:rPr>
          <w:sz w:val="28"/>
        </w:rPr>
        <w:t xml:space="preserve"> в </w:t>
      </w:r>
      <w:r w:rsidR="00106155">
        <w:rPr>
          <w:sz w:val="28"/>
        </w:rPr>
        <w:t xml:space="preserve">многоквартирном жилом доме в </w:t>
      </w:r>
      <w:r w:rsidR="002113DA"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Аукцион в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2E2C0E">
            <w:pPr>
              <w:spacing w:after="0"/>
              <w:rPr>
                <w:color w:val="FF0000"/>
              </w:rPr>
            </w:pPr>
            <w:r w:rsidRPr="00624D62">
              <w:rPr>
                <w:sz w:val="22"/>
                <w:szCs w:val="22"/>
              </w:rPr>
              <w:t>- На момент заключения муниципального контракта исполнитель (участник открытого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F660B2" w:rsidP="001B1EDD">
            <w:pPr>
              <w:rPr>
                <w:rStyle w:val="afb"/>
                <w:i w:val="0"/>
              </w:rPr>
            </w:pPr>
            <w:r>
              <w:rPr>
                <w:b/>
                <w:bCs/>
              </w:rPr>
              <w:t xml:space="preserve">17 779 428,08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w:t>
            </w:r>
            <w:r w:rsidRPr="00E84893">
              <w:lastRenderedPageBreak/>
              <w:t>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w:t>
            </w:r>
            <w:r w:rsidRPr="00E84893">
              <w:rPr>
                <w:sz w:val="22"/>
                <w:szCs w:val="22"/>
              </w:rPr>
              <w:lastRenderedPageBreak/>
              <w:t>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r w:rsidR="00282BB9">
              <w:fldChar w:fldCharType="begin"/>
            </w:r>
            <w:r w:rsidR="00282BB9">
              <w:instrText xml:space="preserve"> REF _Ref353200173 \r \h  \* MERGEFORMAT </w:instrText>
            </w:r>
            <w:r w:rsidR="00282BB9">
              <w:fldChar w:fldCharType="separate"/>
            </w:r>
            <w:r w:rsidR="009631A2">
              <w:t>7</w:t>
            </w:r>
            <w:r w:rsidR="00282BB9">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lastRenderedPageBreak/>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C55D2E">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w:t>
            </w:r>
            <w:r w:rsidRPr="00E84893">
              <w:rPr>
                <w:sz w:val="22"/>
                <w:szCs w:val="22"/>
              </w:rPr>
              <w:lastRenderedPageBreak/>
              <w:t>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F660B2">
              <w:rPr>
                <w:sz w:val="22"/>
                <w:szCs w:val="22"/>
              </w:rPr>
              <w:t xml:space="preserve"> </w:t>
            </w:r>
            <w:r w:rsidR="004A31A3">
              <w:rPr>
                <w:sz w:val="22"/>
                <w:szCs w:val="22"/>
              </w:rPr>
              <w:t>01</w:t>
            </w:r>
            <w:r w:rsidR="00F660B2">
              <w:rPr>
                <w:sz w:val="22"/>
                <w:szCs w:val="22"/>
              </w:rPr>
              <w:t xml:space="preserve"> </w:t>
            </w:r>
            <w:r w:rsidRPr="00E84893">
              <w:rPr>
                <w:sz w:val="22"/>
                <w:szCs w:val="22"/>
              </w:rPr>
              <w:t>» </w:t>
            </w:r>
            <w:r w:rsidR="00F660B2">
              <w:rPr>
                <w:sz w:val="22"/>
                <w:szCs w:val="22"/>
              </w:rPr>
              <w:t xml:space="preserve"> </w:t>
            </w:r>
            <w:r w:rsidR="004A31A3">
              <w:t>октября</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F660B2">
              <w:rPr>
                <w:sz w:val="22"/>
                <w:szCs w:val="22"/>
              </w:rPr>
              <w:t xml:space="preserve"> </w:t>
            </w:r>
            <w:r w:rsidR="004A31A3">
              <w:rPr>
                <w:sz w:val="22"/>
                <w:szCs w:val="22"/>
              </w:rPr>
              <w:t>15</w:t>
            </w:r>
            <w:r w:rsidR="00F660B2">
              <w:rPr>
                <w:sz w:val="22"/>
                <w:szCs w:val="22"/>
              </w:rPr>
              <w:t xml:space="preserve"> </w:t>
            </w:r>
            <w:r w:rsidRPr="00E84893">
              <w:rPr>
                <w:sz w:val="22"/>
                <w:szCs w:val="22"/>
              </w:rPr>
              <w:t>» </w:t>
            </w:r>
            <w:r w:rsidR="00F660B2">
              <w:rPr>
                <w:rFonts w:cs="Arial"/>
                <w:sz w:val="22"/>
                <w:szCs w:val="22"/>
              </w:rPr>
              <w:t xml:space="preserve">  </w:t>
            </w:r>
            <w:r w:rsidR="004A31A3">
              <w:t>октября</w:t>
            </w:r>
            <w:r w:rsidR="00F660B2">
              <w:rPr>
                <w:rFonts w:cs="Arial"/>
                <w:sz w:val="22"/>
                <w:szCs w:val="22"/>
              </w:rPr>
              <w:t xml:space="preserve"> </w:t>
            </w:r>
            <w:r w:rsidR="00120DB7">
              <w:rPr>
                <w:rFonts w:cs="Arial"/>
                <w:sz w:val="22"/>
                <w:szCs w:val="22"/>
              </w:rPr>
              <w:t xml:space="preserve">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A31A3">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660B2">
              <w:rPr>
                <w:sz w:val="22"/>
                <w:szCs w:val="22"/>
              </w:rPr>
              <w:t xml:space="preserve"> </w:t>
            </w:r>
            <w:r w:rsidR="004A31A3">
              <w:rPr>
                <w:sz w:val="22"/>
                <w:szCs w:val="22"/>
              </w:rPr>
              <w:t>17</w:t>
            </w:r>
            <w:r w:rsidRPr="00E84893">
              <w:rPr>
                <w:sz w:val="22"/>
                <w:szCs w:val="22"/>
              </w:rPr>
              <w:t>» </w:t>
            </w:r>
            <w:r w:rsidR="00F660B2">
              <w:rPr>
                <w:rFonts w:cs="Arial"/>
                <w:sz w:val="22"/>
                <w:szCs w:val="22"/>
              </w:rPr>
              <w:t xml:space="preserve">  </w:t>
            </w:r>
            <w:r w:rsidR="004A31A3">
              <w:t>октября</w:t>
            </w:r>
            <w:r w:rsidR="00120DB7">
              <w:rPr>
                <w:rFonts w:cs="Arial"/>
                <w:sz w:val="22"/>
                <w:szCs w:val="22"/>
              </w:rPr>
              <w:t xml:space="preserve">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A31A3">
            <w:r w:rsidRPr="00E84893">
              <w:rPr>
                <w:sz w:val="22"/>
                <w:szCs w:val="22"/>
              </w:rPr>
              <w:t>«</w:t>
            </w:r>
            <w:r w:rsidR="00F660B2">
              <w:rPr>
                <w:sz w:val="22"/>
                <w:szCs w:val="22"/>
              </w:rPr>
              <w:t xml:space="preserve"> </w:t>
            </w:r>
            <w:r w:rsidR="004A31A3">
              <w:rPr>
                <w:sz w:val="22"/>
                <w:szCs w:val="22"/>
              </w:rPr>
              <w:t>21</w:t>
            </w:r>
            <w:r w:rsidRPr="00E84893">
              <w:rPr>
                <w:sz w:val="22"/>
                <w:szCs w:val="22"/>
              </w:rPr>
              <w:t xml:space="preserve">»  </w:t>
            </w:r>
            <w:r w:rsidR="00F660B2">
              <w:rPr>
                <w:rFonts w:cs="Arial"/>
                <w:sz w:val="22"/>
                <w:szCs w:val="22"/>
              </w:rPr>
              <w:t xml:space="preserve"> </w:t>
            </w:r>
            <w:r w:rsidR="004A31A3">
              <w:t>октября</w:t>
            </w:r>
            <w:r w:rsidR="00F660B2">
              <w:rPr>
                <w:rFonts w:cs="Arial"/>
                <w:sz w:val="22"/>
                <w:szCs w:val="22"/>
              </w:rPr>
              <w:t xml:space="preserve">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4A31A3">
            <w:r w:rsidRPr="00E84893">
              <w:rPr>
                <w:sz w:val="22"/>
                <w:szCs w:val="22"/>
              </w:rPr>
              <w:t xml:space="preserve"> «</w:t>
            </w:r>
            <w:r w:rsidR="00F660B2">
              <w:rPr>
                <w:sz w:val="22"/>
                <w:szCs w:val="22"/>
              </w:rPr>
              <w:t xml:space="preserve"> </w:t>
            </w:r>
            <w:r w:rsidR="004A31A3">
              <w:rPr>
                <w:sz w:val="22"/>
                <w:szCs w:val="22"/>
              </w:rPr>
              <w:t>24</w:t>
            </w:r>
            <w:r w:rsidRPr="00E84893">
              <w:rPr>
                <w:sz w:val="22"/>
                <w:szCs w:val="22"/>
              </w:rPr>
              <w:t xml:space="preserve">»  </w:t>
            </w:r>
            <w:r w:rsidR="00F660B2">
              <w:rPr>
                <w:rFonts w:cs="Arial"/>
                <w:sz w:val="22"/>
                <w:szCs w:val="22"/>
              </w:rPr>
              <w:t xml:space="preserve"> </w:t>
            </w:r>
            <w:r w:rsidR="004A31A3">
              <w:t>октября</w:t>
            </w:r>
            <w:r w:rsidR="00120DB7">
              <w:rPr>
                <w:rFonts w:cs="Arial"/>
                <w:sz w:val="22"/>
                <w:szCs w:val="22"/>
              </w:rPr>
              <w:t xml:space="preserve">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lastRenderedPageBreak/>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E84893">
              <w:rPr>
                <w:kern w:val="1"/>
                <w:sz w:val="22"/>
                <w:szCs w:val="22"/>
                <w:lang w:eastAsia="ar-SA"/>
              </w:rPr>
              <w:lastRenderedPageBreak/>
              <w:t>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DA7AE5">
              <w:rPr>
                <w:kern w:val="1"/>
                <w:sz w:val="22"/>
                <w:szCs w:val="22"/>
                <w:lang w:eastAsia="ar-SA"/>
              </w:rPr>
              <w:t xml:space="preserve">-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00282BB9">
              <w:fldChar w:fldCharType="begin"/>
            </w:r>
            <w:r w:rsidR="00282BB9">
              <w:instrText xml:space="preserve"> REF _Ref248571702 \r \h  \* MERGEFORM</w:instrText>
            </w:r>
            <w:r w:rsidR="00282BB9">
              <w:instrText xml:space="preserve">AT </w:instrText>
            </w:r>
            <w:r w:rsidR="00282BB9">
              <w:fldChar w:fldCharType="separate"/>
            </w:r>
            <w:r w:rsidR="009631A2">
              <w:t>I</w:t>
            </w:r>
            <w:r w:rsidR="00282BB9">
              <w:fldChar w:fldCharType="end"/>
            </w:r>
            <w:r w:rsidRPr="00E84893">
              <w:rPr>
                <w:kern w:val="1"/>
                <w:sz w:val="22"/>
                <w:szCs w:val="22"/>
                <w:lang w:eastAsia="ar-SA"/>
              </w:rPr>
              <w:t xml:space="preserve"> «</w:t>
            </w:r>
            <w:r w:rsidR="00282BB9">
              <w:fldChar w:fldCharType="begin"/>
            </w:r>
            <w:r w:rsidR="00282BB9">
              <w:instrText xml:space="preserve"> REF _Ref248571702 \h  \* MERGEFORMAT </w:instrText>
            </w:r>
            <w:r w:rsidR="00282BB9">
              <w:fldChar w:fldCharType="separate"/>
            </w:r>
            <w:r w:rsidR="009631A2" w:rsidRPr="009631A2">
              <w:rPr>
                <w:kern w:val="1"/>
                <w:sz w:val="22"/>
                <w:szCs w:val="22"/>
                <w:lang w:eastAsia="ar-SA"/>
              </w:rPr>
              <w:t>СВЕДЕНИЯ О ПРОВОДИМОМ АУКЦИОНЕ В ЭЛЕКТРОННОЙ ФОРМЕ</w:t>
            </w:r>
            <w:r w:rsidR="00282BB9">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282BB9">
              <w:fldChar w:fldCharType="begin"/>
            </w:r>
            <w:r w:rsidR="00282BB9">
              <w:instrText xml:space="preserve"> REF _Ref353200173 \r \h  \* MERGEFORMAT </w:instrText>
            </w:r>
            <w:r w:rsidR="00282BB9">
              <w:fldChar w:fldCharType="separate"/>
            </w:r>
            <w:r w:rsidR="009631A2">
              <w:t>7</w:t>
            </w:r>
            <w:r w:rsidR="00282BB9">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F660B2">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9631A2">
              <w:rPr>
                <w:kern w:val="1"/>
                <w:sz w:val="22"/>
                <w:szCs w:val="22"/>
                <w:lang w:eastAsia="ar-SA"/>
              </w:rPr>
              <w:t>(</w:t>
            </w:r>
            <w:r w:rsidRPr="00E84893">
              <w:rPr>
                <w:kern w:val="1"/>
                <w:sz w:val="22"/>
                <w:szCs w:val="22"/>
                <w:lang w:eastAsia="ar-SA"/>
              </w:rPr>
              <w:t>максимальной</w:t>
            </w:r>
            <w:r w:rsidR="009631A2">
              <w:rPr>
                <w:kern w:val="1"/>
                <w:sz w:val="22"/>
                <w:szCs w:val="22"/>
                <w:lang w:eastAsia="ar-SA"/>
              </w:rPr>
              <w:t>)</w:t>
            </w:r>
            <w:r w:rsidRPr="00E84893">
              <w:rPr>
                <w:kern w:val="1"/>
                <w:sz w:val="22"/>
                <w:szCs w:val="22"/>
                <w:lang w:eastAsia="ar-SA"/>
              </w:rPr>
              <w:t xml:space="preserve"> цены контракта, что составляет </w:t>
            </w:r>
            <w:r w:rsidR="00F660B2">
              <w:rPr>
                <w:kern w:val="1"/>
                <w:sz w:val="22"/>
                <w:szCs w:val="22"/>
                <w:lang w:eastAsia="ar-SA"/>
              </w:rPr>
              <w:t xml:space="preserve">88 897,14 </w:t>
            </w:r>
            <w:r w:rsidR="00DA7AE5">
              <w:rPr>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p>
          <w:p w:rsidR="00E60056" w:rsidRPr="005B1C4B" w:rsidRDefault="00F660B2" w:rsidP="00DD7860">
            <w:pPr>
              <w:pStyle w:val="31"/>
              <w:numPr>
                <w:ilvl w:val="0"/>
                <w:numId w:val="0"/>
              </w:numPr>
              <w:spacing w:before="0" w:after="0"/>
              <w:rPr>
                <w:rFonts w:ascii="Times New Roman" w:hAnsi="Times New Roman"/>
                <w:b w:val="0"/>
                <w:bCs w:val="0"/>
                <w:kern w:val="1"/>
                <w:lang w:eastAsia="ar-SA"/>
              </w:rPr>
            </w:pPr>
            <w:r>
              <w:rPr>
                <w:rFonts w:ascii="Times New Roman" w:hAnsi="Times New Roman"/>
                <w:b w:val="0"/>
                <w:bCs w:val="0"/>
                <w:kern w:val="1"/>
                <w:sz w:val="22"/>
                <w:szCs w:val="22"/>
                <w:lang w:eastAsia="ar-SA"/>
              </w:rPr>
              <w:t>16 890 456,68</w:t>
            </w:r>
            <w:r w:rsidR="00DA7AE5">
              <w:rPr>
                <w:rFonts w:ascii="Times New Roman" w:hAnsi="Times New Roman"/>
                <w:b w:val="0"/>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9"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10"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3. Банковская гарантия должна быть включена в реестр банковских </w:t>
            </w:r>
            <w:r w:rsidRPr="00E84893">
              <w:rPr>
                <w:kern w:val="1"/>
                <w:sz w:val="22"/>
                <w:szCs w:val="22"/>
                <w:lang w:eastAsia="ar-SA"/>
              </w:rPr>
              <w:lastRenderedPageBreak/>
              <w:t>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r w:rsidR="00282BB9">
              <w:fldChar w:fldCharType="begin"/>
            </w:r>
            <w:r w:rsidR="00282BB9">
              <w:instrText xml:space="preserve"> REF _Ref353189530 \h  \* MERGEFORMAT </w:instrText>
            </w:r>
            <w:r w:rsidR="00282BB9">
              <w:fldChar w:fldCharType="separate"/>
            </w:r>
            <w:r w:rsidR="009631A2" w:rsidRPr="009631A2">
              <w:rPr>
                <w:rFonts w:ascii="Times New Roman" w:hAnsi="Times New Roman"/>
                <w:b w:val="0"/>
                <w:bCs w:val="0"/>
                <w:kern w:val="1"/>
                <w:sz w:val="22"/>
                <w:szCs w:val="22"/>
                <w:lang w:eastAsia="ar-SA"/>
              </w:rPr>
              <w:t xml:space="preserve">Ш. </w:t>
            </w:r>
            <w:r w:rsidR="009631A2" w:rsidRPr="009631A2">
              <w:rPr>
                <w:rFonts w:ascii="Times New Roman" w:hAnsi="Times New Roman"/>
                <w:b w:val="0"/>
              </w:rPr>
              <w:t xml:space="preserve">ПРОЕКТ </w:t>
            </w:r>
            <w:r w:rsidR="009631A2" w:rsidRPr="009631A2">
              <w:rPr>
                <w:rFonts w:ascii="Times New Roman" w:hAnsi="Times New Roman"/>
                <w:b w:val="0"/>
                <w:bCs w:val="0"/>
              </w:rPr>
              <w:t>КОНТРАКТА</w:t>
            </w:r>
            <w:r w:rsidR="00282BB9">
              <w:fldChar w:fldCharType="end"/>
            </w:r>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rPr>
              <w:t>ДМСиГ</w:t>
            </w:r>
            <w:proofErr w:type="spellEnd"/>
            <w:r w:rsidRPr="00A80B2D">
              <w:rPr>
                <w:rFonts w:ascii="Times New Roman" w:hAnsi="Times New Roman"/>
                <w:b w:val="0"/>
                <w:bCs w:val="0"/>
                <w:sz w:val="22"/>
                <w:szCs w:val="22"/>
                <w:u w:val="single"/>
              </w:rPr>
              <w:t xml:space="preserve">, л/с 070010000), </w:t>
            </w:r>
            <w:proofErr w:type="gramStart"/>
            <w:r w:rsidRPr="00A80B2D">
              <w:rPr>
                <w:rFonts w:ascii="Times New Roman" w:hAnsi="Times New Roman"/>
                <w:b w:val="0"/>
                <w:bCs w:val="0"/>
                <w:sz w:val="22"/>
                <w:szCs w:val="22"/>
                <w:u w:val="single"/>
              </w:rPr>
              <w:t>р</w:t>
            </w:r>
            <w:proofErr w:type="gramEnd"/>
            <w:r w:rsidRPr="00A80B2D">
              <w:rPr>
                <w:rFonts w:ascii="Times New Roman" w:hAnsi="Times New Roman"/>
                <w:b w:val="0"/>
                <w:bCs w:val="0"/>
                <w:sz w:val="22"/>
                <w:szCs w:val="22"/>
                <w:u w:val="single"/>
              </w:rPr>
              <w:t xml:space="preserve">/с 403 02 810 000 060 000 005, ОАО «Ханты-Мансийский банк», г. Ханты-Мансийск, БИК   047162740, к/с 30101810100000000740,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w:t>
            </w:r>
            <w:r w:rsidRPr="001F6398">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lastRenderedPageBreak/>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A972A3" w:rsidP="00A972A3">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 xml:space="preserve">Требование о соответствии поставляемого товара образцу или макету, </w:t>
            </w:r>
            <w:r w:rsidRPr="005F2F8D">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lastRenderedPageBreak/>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AA154B">
              <w:t>-</w:t>
            </w:r>
            <w:r w:rsidRPr="00AA154B">
              <w:t xml:space="preserve"> 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325B59">
              <w:rPr>
                <w:rFonts w:ascii="Times New Roman" w:hAnsi="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25B59">
              <w:rPr>
                <w:rFonts w:ascii="Times New Roman" w:hAnsi="Times New Roman"/>
                <w:sz w:val="22"/>
                <w:szCs w:val="22"/>
              </w:rPr>
              <w:lastRenderedPageBreak/>
              <w:t>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Не более 49 558,00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19557B" w:rsidRDefault="0019557B" w:rsidP="0019557B">
            <w:pPr>
              <w:autoSpaceDE w:val="0"/>
              <w:snapToGrid w:val="0"/>
              <w:spacing w:line="276" w:lineRule="auto"/>
              <w:jc w:val="center"/>
              <w:rPr>
                <w:b/>
                <w:sz w:val="20"/>
                <w:lang w:eastAsia="en-US"/>
              </w:rPr>
            </w:pP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sz w:val="20"/>
                <w:lang w:eastAsia="en-US"/>
              </w:rPr>
            </w:pPr>
          </w:p>
        </w:tc>
      </w:tr>
    </w:tbl>
    <w:p w:rsidR="00580289" w:rsidRDefault="00580289" w:rsidP="0019557B">
      <w:pPr>
        <w:pStyle w:val="afc"/>
        <w:rPr>
          <w:b/>
          <w:sz w:val="20"/>
        </w:rPr>
      </w:pPr>
    </w:p>
    <w:p w:rsidR="00E952F7" w:rsidRDefault="00E952F7" w:rsidP="00E952F7">
      <w:pPr>
        <w:pStyle w:val="afc"/>
        <w:rPr>
          <w:b/>
          <w:sz w:val="20"/>
        </w:rPr>
      </w:pPr>
      <w:r>
        <w:rPr>
          <w:b/>
          <w:sz w:val="20"/>
        </w:rPr>
        <w:t>2-комнатные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sz w:val="20"/>
                <w:lang w:eastAsia="en-US"/>
              </w:rPr>
            </w:pPr>
            <w:r>
              <w:rPr>
                <w:sz w:val="20"/>
                <w:lang w:eastAsia="en-US"/>
              </w:rPr>
              <w:t>5</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F660B2">
            <w:pPr>
              <w:autoSpaceDE w:val="0"/>
              <w:snapToGrid w:val="0"/>
              <w:spacing w:line="276" w:lineRule="auto"/>
              <w:jc w:val="center"/>
              <w:rPr>
                <w:sz w:val="20"/>
                <w:lang w:eastAsia="en-US"/>
              </w:rPr>
            </w:pPr>
            <w:r>
              <w:rPr>
                <w:sz w:val="20"/>
                <w:lang w:eastAsia="en-US"/>
              </w:rPr>
              <w:t>Не менее 52,6</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F660B2">
            <w:pPr>
              <w:autoSpaceDE w:val="0"/>
              <w:snapToGrid w:val="0"/>
              <w:spacing w:line="276" w:lineRule="auto"/>
              <w:jc w:val="center"/>
              <w:rPr>
                <w:sz w:val="20"/>
                <w:lang w:eastAsia="en-US"/>
              </w:rPr>
            </w:pPr>
            <w:r>
              <w:rPr>
                <w:sz w:val="20"/>
                <w:lang w:eastAsia="en-US"/>
              </w:rPr>
              <w:t xml:space="preserve">Не менее </w:t>
            </w:r>
            <w:r w:rsidR="00F660B2">
              <w:rPr>
                <w:sz w:val="20"/>
                <w:lang w:eastAsia="en-US"/>
              </w:rPr>
              <w:t>263,0</w:t>
            </w:r>
            <w:r>
              <w:rPr>
                <w:sz w:val="20"/>
                <w:lang w:eastAsia="en-US"/>
              </w:rPr>
              <w:t xml:space="preserve"> кв. метров (за исключением балконов, лоджий)</w:t>
            </w:r>
          </w:p>
        </w:tc>
      </w:tr>
    </w:tbl>
    <w:p w:rsidR="00282FC4" w:rsidRDefault="00282FC4" w:rsidP="0019557B">
      <w:pPr>
        <w:pStyle w:val="afc"/>
        <w:rPr>
          <w:b/>
          <w:sz w:val="20"/>
        </w:rPr>
      </w:pPr>
    </w:p>
    <w:p w:rsidR="0019557B" w:rsidRDefault="004744B7" w:rsidP="0019557B">
      <w:pPr>
        <w:pStyle w:val="afc"/>
        <w:rPr>
          <w:b/>
          <w:sz w:val="20"/>
        </w:rPr>
      </w:pPr>
      <w:r>
        <w:rPr>
          <w:b/>
          <w:sz w:val="20"/>
        </w:rPr>
        <w:t>2</w:t>
      </w:r>
      <w:r w:rsidR="0019557B">
        <w:rPr>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282FC4" w:rsidP="0019557B">
            <w:pPr>
              <w:autoSpaceDE w:val="0"/>
              <w:snapToGrid w:val="0"/>
              <w:spacing w:line="276" w:lineRule="auto"/>
              <w:ind w:right="-174"/>
              <w:jc w:val="center"/>
              <w:rPr>
                <w:sz w:val="20"/>
                <w:lang w:eastAsia="en-US"/>
              </w:rPr>
            </w:pPr>
            <w:r>
              <w:rPr>
                <w:sz w:val="20"/>
                <w:lang w:eastAsia="en-US"/>
              </w:rPr>
              <w:t>2</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47</w:t>
            </w:r>
            <w:r w:rsidR="004744B7">
              <w:rPr>
                <w:sz w:val="20"/>
                <w:lang w:eastAsia="en-US"/>
              </w:rPr>
              <w:t>,</w:t>
            </w:r>
            <w:r w:rsidR="00282FC4">
              <w:rPr>
                <w:sz w:val="20"/>
                <w:lang w:eastAsia="en-US"/>
              </w:rPr>
              <w:t>88</w:t>
            </w:r>
            <w:r>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E952F7">
            <w:pPr>
              <w:autoSpaceDE w:val="0"/>
              <w:snapToGrid w:val="0"/>
              <w:spacing w:line="276" w:lineRule="auto"/>
              <w:jc w:val="center"/>
              <w:rPr>
                <w:b/>
                <w:sz w:val="20"/>
                <w:lang w:eastAsia="en-US"/>
              </w:rPr>
            </w:pPr>
            <w:r>
              <w:rPr>
                <w:b/>
                <w:sz w:val="20"/>
                <w:lang w:eastAsia="en-US"/>
              </w:rPr>
              <w:t xml:space="preserve">Общая площадь </w:t>
            </w:r>
            <w:r w:rsidR="004744B7">
              <w:rPr>
                <w:b/>
                <w:sz w:val="20"/>
                <w:lang w:eastAsia="en-US"/>
              </w:rPr>
              <w:t xml:space="preserve"> </w:t>
            </w:r>
            <w:r w:rsidR="0019557B">
              <w:rPr>
                <w:b/>
                <w:sz w:val="20"/>
                <w:lang w:eastAsia="en-US"/>
              </w:rPr>
              <w:t>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4744B7" w:rsidP="00282FC4">
            <w:pPr>
              <w:autoSpaceDE w:val="0"/>
              <w:snapToGrid w:val="0"/>
              <w:spacing w:line="276" w:lineRule="auto"/>
              <w:jc w:val="center"/>
              <w:rPr>
                <w:sz w:val="20"/>
                <w:lang w:eastAsia="en-US"/>
              </w:rPr>
            </w:pPr>
            <w:r>
              <w:rPr>
                <w:sz w:val="20"/>
                <w:lang w:eastAsia="en-US"/>
              </w:rPr>
              <w:t xml:space="preserve">Не менее </w:t>
            </w:r>
            <w:r w:rsidR="00282FC4">
              <w:rPr>
                <w:sz w:val="20"/>
                <w:lang w:eastAsia="en-US"/>
              </w:rPr>
              <w:t>95,76</w:t>
            </w:r>
            <w:r w:rsidR="0019557B">
              <w:rPr>
                <w:sz w:val="20"/>
                <w:lang w:eastAsia="en-US"/>
              </w:rPr>
              <w:t xml:space="preserve"> кв. метров (за исключением балконов, лоджий)</w:t>
            </w:r>
          </w:p>
        </w:tc>
      </w:tr>
    </w:tbl>
    <w:p w:rsidR="004744B7" w:rsidRDefault="004744B7" w:rsidP="0019557B">
      <w:pPr>
        <w:pStyle w:val="afc"/>
        <w:rPr>
          <w:b/>
          <w:sz w:val="20"/>
        </w:rPr>
      </w:pPr>
    </w:p>
    <w:p w:rsidR="0019557B" w:rsidRDefault="0019557B" w:rsidP="0019557B">
      <w:pPr>
        <w:pStyle w:val="1bodytext"/>
        <w:ind w:firstLine="720"/>
        <w:rPr>
          <w:b/>
        </w:rPr>
      </w:pPr>
      <w:r>
        <w:rPr>
          <w:b/>
        </w:rPr>
        <w:lastRenderedPageBreak/>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19557B" w:rsidRDefault="0019557B"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lastRenderedPageBreak/>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lastRenderedPageBreak/>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lastRenderedPageBreak/>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ИНН 8622011490, КПП 862201001, Получатель: Департамент финансов г. Югорска, (</w:t>
      </w:r>
      <w:proofErr w:type="spellStart"/>
      <w:r w:rsidRPr="000652E6">
        <w:rPr>
          <w:rFonts w:ascii="Times New Roman" w:hAnsi="Times New Roman"/>
          <w:b w:val="0"/>
          <w:bCs w:val="0"/>
        </w:rPr>
        <w:t>ДМСиГ</w:t>
      </w:r>
      <w:proofErr w:type="spellEnd"/>
      <w:r w:rsidRPr="000652E6">
        <w:rPr>
          <w:rFonts w:ascii="Times New Roman" w:hAnsi="Times New Roman"/>
          <w:b w:val="0"/>
          <w:bCs w:val="0"/>
        </w:rPr>
        <w:t xml:space="preserve">, л/с 070010000), </w:t>
      </w:r>
      <w:proofErr w:type="gramStart"/>
      <w:r w:rsidRPr="000652E6">
        <w:rPr>
          <w:rFonts w:ascii="Times New Roman" w:hAnsi="Times New Roman"/>
          <w:b w:val="0"/>
          <w:bCs w:val="0"/>
        </w:rPr>
        <w:t>р</w:t>
      </w:r>
      <w:proofErr w:type="gramEnd"/>
      <w:r w:rsidRPr="000652E6">
        <w:rPr>
          <w:rFonts w:ascii="Times New Roman" w:hAnsi="Times New Roman"/>
          <w:b w:val="0"/>
          <w:bCs w:val="0"/>
        </w:rPr>
        <w:t xml:space="preserve">/с 403 02 810 000 060 000 005, </w:t>
      </w:r>
      <w:r w:rsidR="00214AD3">
        <w:rPr>
          <w:rFonts w:ascii="Times New Roman" w:hAnsi="Times New Roman"/>
          <w:b w:val="0"/>
          <w:bCs w:val="0"/>
        </w:rPr>
        <w:t>ОАО «</w:t>
      </w:r>
      <w:r w:rsidRPr="000652E6">
        <w:rPr>
          <w:rFonts w:ascii="Times New Roman" w:hAnsi="Times New Roman"/>
          <w:b w:val="0"/>
          <w:bCs w:val="0"/>
        </w:rPr>
        <w:t xml:space="preserve">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lastRenderedPageBreak/>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730558">
        <w:t>Застройщиком</w:t>
      </w:r>
      <w:r w:rsidR="001B6B20" w:rsidRPr="004D68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30558">
        <w:t>Застройщиком</w:t>
      </w:r>
      <w:r w:rsidR="00A96042" w:rsidRPr="004D6819">
        <w:t>.</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___________________________________________ рублей (5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lastRenderedPageBreak/>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w:t>
      </w:r>
      <w:r w:rsidR="001B6B20" w:rsidRPr="005B0B09">
        <w:lastRenderedPageBreak/>
        <w:t xml:space="preserve">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казчиком 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1B6B20" w:rsidRPr="00013E9A" w:rsidRDefault="001B6B20" w:rsidP="006A0AFC">
      <w:pPr>
        <w:autoSpaceDE w:val="0"/>
        <w:autoSpaceDN w:val="0"/>
        <w:adjustRightInd w:val="0"/>
        <w:spacing w:after="0"/>
        <w:ind w:firstLine="567"/>
        <w:jc w:val="center"/>
        <w:rPr>
          <w:b/>
        </w:rPr>
      </w:pPr>
      <w:r w:rsidRPr="00013E9A">
        <w:rPr>
          <w:b/>
        </w:rPr>
        <w:lastRenderedPageBreak/>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w:t>
      </w:r>
      <w:proofErr w:type="spellStart"/>
      <w:r w:rsidRPr="00F76B3C">
        <w:t>ДМСиГ</w:t>
      </w:r>
      <w:proofErr w:type="spellEnd"/>
      <w:r w:rsidRPr="00F76B3C">
        <w:t xml:space="preserve"> 003.05.001.0), </w:t>
      </w:r>
      <w:proofErr w:type="gramStart"/>
      <w:r w:rsidRPr="00F76B3C">
        <w:t>р</w:t>
      </w:r>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w:t>
      </w:r>
      <w:proofErr w:type="spellStart"/>
      <w:r>
        <w:rPr>
          <w:b/>
        </w:rPr>
        <w:t>ДМСиГ</w:t>
      </w:r>
      <w:proofErr w:type="spellEnd"/>
      <w:r>
        <w:rPr>
          <w:b/>
        </w:rPr>
        <w:t xml:space="preserve">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4200D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2D7BBA" w:rsidRDefault="002D7BBA" w:rsidP="002D7BBA">
      <w:pPr>
        <w:pStyle w:val="ConsPlusNormal"/>
        <w:widowControl/>
        <w:tabs>
          <w:tab w:val="left" w:pos="360"/>
        </w:tabs>
        <w:spacing w:before="120" w:after="120"/>
        <w:ind w:left="1080" w:firstLine="0"/>
        <w:jc w:val="center"/>
      </w:pPr>
    </w:p>
    <w:p w:rsidR="002D7BBA" w:rsidRDefault="002D7BBA" w:rsidP="002D7BBA">
      <w:pPr>
        <w:ind w:firstLine="705"/>
        <w:rPr>
          <w:b/>
        </w:rPr>
      </w:pPr>
      <w:r>
        <w:t xml:space="preserve">Приказом Региональной службы по тарифам Ханты-Мансийского автономного округа — Югры </w:t>
      </w:r>
      <w:r w:rsidR="004F425D" w:rsidRPr="004F425D">
        <w:t xml:space="preserve"> 24 июня 2014 г. N 62-нп </w:t>
      </w:r>
      <w:r>
        <w:t xml:space="preserve">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4F425D">
        <w:t>третий</w:t>
      </w:r>
      <w:r>
        <w:t xml:space="preserve"> квартал 2014 года. По городу </w:t>
      </w:r>
      <w:proofErr w:type="spellStart"/>
      <w:r>
        <w:t>Югорску</w:t>
      </w:r>
      <w:proofErr w:type="spellEnd"/>
      <w:r>
        <w:t xml:space="preserve">  норматив средней рыночной стоимости 1 квадратного метра общей площади жилого помещения в домах  в капитальном исполнении составляет –  </w:t>
      </w:r>
      <w:r>
        <w:rPr>
          <w:b/>
        </w:rPr>
        <w:t>49 558</w:t>
      </w:r>
      <w:r>
        <w:t xml:space="preserve">  рублей.</w:t>
      </w:r>
    </w:p>
    <w:p w:rsidR="002D7BBA" w:rsidRDefault="002D7BBA" w:rsidP="002D7BBA">
      <w:pPr>
        <w:ind w:firstLine="709"/>
      </w:pPr>
      <w:proofErr w:type="gramStart"/>
      <w:r>
        <w:rPr>
          <w:color w:val="000000"/>
        </w:rPr>
        <w:t>Администрацией города Югорска проведен анализ рынка</w:t>
      </w:r>
      <w:r w:rsidR="004744B7">
        <w:rPr>
          <w:color w:val="000000"/>
        </w:rPr>
        <w:t xml:space="preserve"> жилья (2</w:t>
      </w:r>
      <w:r>
        <w:rPr>
          <w:color w:val="000000"/>
        </w:rPr>
        <w:t xml:space="preserve">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w:t>
      </w:r>
      <w:r w:rsidR="007E7FA9">
        <w:rPr>
          <w:color w:val="000000"/>
        </w:rPr>
        <w:t>9</w:t>
      </w:r>
      <w:r>
        <w:rPr>
          <w:color w:val="000000"/>
        </w:rPr>
        <w:t xml:space="preserve">.2014 имеются в наличии </w:t>
      </w:r>
      <w:r w:rsidR="007E7FA9">
        <w:rPr>
          <w:color w:val="000000"/>
        </w:rPr>
        <w:t xml:space="preserve"> 2</w:t>
      </w:r>
      <w:r w:rsidR="00282BB9">
        <w:rPr>
          <w:color w:val="000000"/>
        </w:rPr>
        <w:t>-х комнатные</w:t>
      </w:r>
      <w:bookmarkStart w:id="35" w:name="_GoBack"/>
      <w:bookmarkEnd w:id="35"/>
      <w:r w:rsidR="007E7FA9">
        <w:rPr>
          <w:color w:val="000000"/>
        </w:rPr>
        <w:t xml:space="preserve"> квартиры по 52,6 </w:t>
      </w:r>
      <w:r w:rsidR="004200D4">
        <w:rPr>
          <w:color w:val="000000"/>
        </w:rPr>
        <w:t xml:space="preserve">кв.м. и </w:t>
      </w:r>
      <w:r w:rsidR="007E7FA9">
        <w:rPr>
          <w:color w:val="000000"/>
        </w:rPr>
        <w:t>по 47,88</w:t>
      </w:r>
      <w:r w:rsidR="004744B7">
        <w:rPr>
          <w:color w:val="000000"/>
        </w:rPr>
        <w:t xml:space="preserve"> кв.м.</w:t>
      </w:r>
      <w:r>
        <w:rPr>
          <w:color w:val="000000"/>
        </w:rPr>
        <w:t xml:space="preserve">, общая площадь которых составляет: </w:t>
      </w:r>
      <w:r w:rsidR="007E7FA9">
        <w:rPr>
          <w:color w:val="000000"/>
        </w:rPr>
        <w:t>358,76</w:t>
      </w:r>
      <w:r>
        <w:rPr>
          <w:color w:val="000000"/>
        </w:rPr>
        <w:t xml:space="preserve">  кв.м.</w:t>
      </w:r>
    </w:p>
    <w:p w:rsidR="002259C6" w:rsidRPr="006A5CC5" w:rsidRDefault="002259C6" w:rsidP="002259C6">
      <w:pPr>
        <w:ind w:firstLine="705"/>
        <w:jc w:val="center"/>
        <w:rPr>
          <w:b/>
          <w:bCs/>
          <w:highlight w:val="yellow"/>
        </w:rPr>
      </w:pPr>
    </w:p>
    <w:p w:rsidR="002259C6" w:rsidRPr="006952F2" w:rsidRDefault="00E1411F" w:rsidP="002259C6">
      <w:pPr>
        <w:ind w:firstLine="705"/>
        <w:rPr>
          <w:b/>
          <w:bCs/>
          <w:highlight w:val="yellow"/>
        </w:rPr>
      </w:pPr>
      <w:r>
        <w:rPr>
          <w:b/>
          <w:bCs/>
        </w:rPr>
        <w:t>49 558,00</w:t>
      </w:r>
      <w:r w:rsidR="002259C6" w:rsidRPr="006952F2">
        <w:rPr>
          <w:b/>
          <w:bCs/>
        </w:rPr>
        <w:t xml:space="preserve"> руб. х </w:t>
      </w:r>
      <w:r w:rsidR="007E7FA9">
        <w:rPr>
          <w:b/>
          <w:bCs/>
        </w:rPr>
        <w:t>358,76</w:t>
      </w:r>
      <w:r w:rsidR="002259C6" w:rsidRPr="006952F2">
        <w:rPr>
          <w:b/>
          <w:bCs/>
        </w:rPr>
        <w:t xml:space="preserve"> кв</w:t>
      </w:r>
      <w:r w:rsidR="00911A50" w:rsidRPr="006952F2">
        <w:rPr>
          <w:b/>
          <w:bCs/>
        </w:rPr>
        <w:t>.</w:t>
      </w:r>
      <w:r w:rsidR="002259C6" w:rsidRPr="006952F2">
        <w:rPr>
          <w:b/>
          <w:bCs/>
        </w:rPr>
        <w:t xml:space="preserve"> м</w:t>
      </w:r>
      <w:r w:rsidR="00911A50" w:rsidRPr="006952F2">
        <w:rPr>
          <w:b/>
          <w:bCs/>
        </w:rPr>
        <w:t>.</w:t>
      </w:r>
      <w:r w:rsidR="002259C6" w:rsidRPr="006952F2">
        <w:rPr>
          <w:b/>
          <w:bCs/>
        </w:rPr>
        <w:t xml:space="preserve"> = </w:t>
      </w:r>
      <w:r w:rsidR="007E7FA9" w:rsidRPr="007E7FA9">
        <w:rPr>
          <w:b/>
          <w:bCs/>
        </w:rPr>
        <w:t>17 779 428,08</w:t>
      </w:r>
      <w:r w:rsidR="007E7FA9">
        <w:rPr>
          <w:b/>
          <w:bCs/>
        </w:rPr>
        <w:t xml:space="preserve"> </w:t>
      </w:r>
      <w:r w:rsidR="00834084" w:rsidRPr="006952F2">
        <w:rPr>
          <w:b/>
          <w:bCs/>
        </w:rPr>
        <w:t>(</w:t>
      </w:r>
      <w:r w:rsidR="007E7FA9">
        <w:rPr>
          <w:b/>
          <w:bCs/>
        </w:rPr>
        <w:t>Семнадцать миллионов семьсот семьдесят девять</w:t>
      </w:r>
      <w:r w:rsidR="00CE3BE2">
        <w:rPr>
          <w:b/>
          <w:bCs/>
        </w:rPr>
        <w:t xml:space="preserve"> тысяч </w:t>
      </w:r>
      <w:r w:rsidR="007E7FA9">
        <w:rPr>
          <w:b/>
          <w:bCs/>
        </w:rPr>
        <w:t>четыреста двадцать восемь) рублей 0</w:t>
      </w:r>
      <w:r w:rsidR="004200D4">
        <w:rPr>
          <w:b/>
          <w:bCs/>
        </w:rPr>
        <w:t>8</w:t>
      </w:r>
      <w:r w:rsidR="00E030CF">
        <w:rPr>
          <w:b/>
          <w:bCs/>
        </w:rPr>
        <w:t xml:space="preserve"> копеек.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1"/>
      <w:footerReference w:type="default" r:id="rId12"/>
      <w:pgSz w:w="11906" w:h="16838"/>
      <w:pgMar w:top="567" w:right="566"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02" w:rsidRDefault="00B87D02">
      <w:pPr>
        <w:spacing w:after="0"/>
      </w:pPr>
      <w:r>
        <w:separator/>
      </w:r>
    </w:p>
  </w:endnote>
  <w:endnote w:type="continuationSeparator" w:id="0">
    <w:p w:rsidR="00B87D02" w:rsidRDefault="00B87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B2" w:rsidRDefault="002138AE" w:rsidP="006E2615">
    <w:pPr>
      <w:pStyle w:val="a5"/>
      <w:framePr w:wrap="around" w:vAnchor="text" w:hAnchor="margin" w:xAlign="right" w:y="1"/>
      <w:rPr>
        <w:rStyle w:val="a7"/>
      </w:rPr>
    </w:pPr>
    <w:r>
      <w:rPr>
        <w:rStyle w:val="a7"/>
      </w:rPr>
      <w:fldChar w:fldCharType="begin"/>
    </w:r>
    <w:r w:rsidR="00F660B2">
      <w:rPr>
        <w:rStyle w:val="a7"/>
      </w:rPr>
      <w:instrText xml:space="preserve">PAGE  </w:instrText>
    </w:r>
    <w:r>
      <w:rPr>
        <w:rStyle w:val="a7"/>
      </w:rPr>
      <w:fldChar w:fldCharType="end"/>
    </w:r>
  </w:p>
  <w:p w:rsidR="00F660B2" w:rsidRDefault="00F660B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B2" w:rsidRDefault="002138AE" w:rsidP="006E2615">
    <w:pPr>
      <w:pStyle w:val="a5"/>
      <w:framePr w:wrap="around" w:vAnchor="text" w:hAnchor="margin" w:xAlign="right" w:y="1"/>
      <w:rPr>
        <w:rStyle w:val="a7"/>
      </w:rPr>
    </w:pPr>
    <w:r>
      <w:rPr>
        <w:rStyle w:val="a7"/>
      </w:rPr>
      <w:fldChar w:fldCharType="begin"/>
    </w:r>
    <w:r w:rsidR="00F660B2">
      <w:rPr>
        <w:rStyle w:val="a7"/>
      </w:rPr>
      <w:instrText xml:space="preserve">PAGE  </w:instrText>
    </w:r>
    <w:r>
      <w:rPr>
        <w:rStyle w:val="a7"/>
      </w:rPr>
      <w:fldChar w:fldCharType="separate"/>
    </w:r>
    <w:r w:rsidR="00282BB9">
      <w:rPr>
        <w:rStyle w:val="a7"/>
        <w:noProof/>
      </w:rPr>
      <w:t>29</w:t>
    </w:r>
    <w:r>
      <w:rPr>
        <w:rStyle w:val="a7"/>
      </w:rPr>
      <w:fldChar w:fldCharType="end"/>
    </w:r>
  </w:p>
  <w:p w:rsidR="00F660B2" w:rsidRDefault="00F660B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02" w:rsidRDefault="00B87D02">
      <w:pPr>
        <w:spacing w:after="0"/>
      </w:pPr>
      <w:r>
        <w:separator/>
      </w:r>
    </w:p>
  </w:footnote>
  <w:footnote w:type="continuationSeparator" w:id="0">
    <w:p w:rsidR="00B87D02" w:rsidRDefault="00B87D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372F"/>
    <w:rsid w:val="0000752F"/>
    <w:rsid w:val="00013E9A"/>
    <w:rsid w:val="00016A2E"/>
    <w:rsid w:val="00016F53"/>
    <w:rsid w:val="0003192F"/>
    <w:rsid w:val="00031B0C"/>
    <w:rsid w:val="0003447D"/>
    <w:rsid w:val="00036E83"/>
    <w:rsid w:val="000442EB"/>
    <w:rsid w:val="00053CC1"/>
    <w:rsid w:val="00060BCE"/>
    <w:rsid w:val="0006212B"/>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1F7A"/>
    <w:rsid w:val="00164CCD"/>
    <w:rsid w:val="00167A0F"/>
    <w:rsid w:val="00171BF2"/>
    <w:rsid w:val="00186235"/>
    <w:rsid w:val="00187847"/>
    <w:rsid w:val="001900DE"/>
    <w:rsid w:val="0019557B"/>
    <w:rsid w:val="001A194F"/>
    <w:rsid w:val="001A3D27"/>
    <w:rsid w:val="001B1EDD"/>
    <w:rsid w:val="001B6B20"/>
    <w:rsid w:val="001C252B"/>
    <w:rsid w:val="001D04EA"/>
    <w:rsid w:val="001D2B2B"/>
    <w:rsid w:val="001D708D"/>
    <w:rsid w:val="001F5733"/>
    <w:rsid w:val="001F6398"/>
    <w:rsid w:val="002018BD"/>
    <w:rsid w:val="002113DA"/>
    <w:rsid w:val="00211E90"/>
    <w:rsid w:val="002138AE"/>
    <w:rsid w:val="00214AD3"/>
    <w:rsid w:val="002233FA"/>
    <w:rsid w:val="002256F2"/>
    <w:rsid w:val="002259C6"/>
    <w:rsid w:val="0023332A"/>
    <w:rsid w:val="002424FA"/>
    <w:rsid w:val="00243967"/>
    <w:rsid w:val="002618E5"/>
    <w:rsid w:val="00281545"/>
    <w:rsid w:val="00282BB9"/>
    <w:rsid w:val="00282FC4"/>
    <w:rsid w:val="0028781F"/>
    <w:rsid w:val="00292D67"/>
    <w:rsid w:val="002A4528"/>
    <w:rsid w:val="002A6A8C"/>
    <w:rsid w:val="002D0A98"/>
    <w:rsid w:val="002D7BBA"/>
    <w:rsid w:val="002E2C0E"/>
    <w:rsid w:val="002E5486"/>
    <w:rsid w:val="002F5B13"/>
    <w:rsid w:val="00317F1F"/>
    <w:rsid w:val="0033380A"/>
    <w:rsid w:val="00337930"/>
    <w:rsid w:val="003442E4"/>
    <w:rsid w:val="003518E3"/>
    <w:rsid w:val="00352669"/>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31A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A023E"/>
    <w:rsid w:val="005A4820"/>
    <w:rsid w:val="005A6F90"/>
    <w:rsid w:val="005B0B09"/>
    <w:rsid w:val="005B1C4B"/>
    <w:rsid w:val="005B4190"/>
    <w:rsid w:val="005C6DA8"/>
    <w:rsid w:val="005C6FC1"/>
    <w:rsid w:val="005F7D6A"/>
    <w:rsid w:val="00602BC5"/>
    <w:rsid w:val="00611D8D"/>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15ECC"/>
    <w:rsid w:val="00834084"/>
    <w:rsid w:val="00840B1E"/>
    <w:rsid w:val="00841379"/>
    <w:rsid w:val="00844E65"/>
    <w:rsid w:val="00846A04"/>
    <w:rsid w:val="00865EE1"/>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34D2C"/>
    <w:rsid w:val="00937C1C"/>
    <w:rsid w:val="00941AA7"/>
    <w:rsid w:val="0094794E"/>
    <w:rsid w:val="00957F62"/>
    <w:rsid w:val="0096022F"/>
    <w:rsid w:val="00960B83"/>
    <w:rsid w:val="0096291A"/>
    <w:rsid w:val="009631A2"/>
    <w:rsid w:val="0096518A"/>
    <w:rsid w:val="00977AC7"/>
    <w:rsid w:val="00984D89"/>
    <w:rsid w:val="00984E2B"/>
    <w:rsid w:val="00991CAF"/>
    <w:rsid w:val="00995F49"/>
    <w:rsid w:val="009B004D"/>
    <w:rsid w:val="009B594F"/>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952F7"/>
    <w:rsid w:val="00EB2444"/>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73F1"/>
    <w:rsid w:val="00FB4EA8"/>
    <w:rsid w:val="00FB50FB"/>
    <w:rsid w:val="00FC0154"/>
    <w:rsid w:val="00FD7313"/>
    <w:rsid w:val="00FE156B"/>
    <w:rsid w:val="00FE1C1C"/>
    <w:rsid w:val="00FE2B0A"/>
    <w:rsid w:val="00FE451C"/>
    <w:rsid w:val="00FE6874"/>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899E-2CB4-4423-8035-98BABA5F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29</Pages>
  <Words>11178</Words>
  <Characters>63716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Павлова Елена Ивановна</cp:lastModifiedBy>
  <cp:revision>36</cp:revision>
  <cp:lastPrinted>2014-09-29T10:14:00Z</cp:lastPrinted>
  <dcterms:created xsi:type="dcterms:W3CDTF">2014-05-20T09:27:00Z</dcterms:created>
  <dcterms:modified xsi:type="dcterms:W3CDTF">2014-09-30T06:05:00Z</dcterms:modified>
</cp:coreProperties>
</file>